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95" w:afterAutospacing="0"/>
        <w:ind w:left="0" w:right="0" w:firstLine="0"/>
        <w:jc w:val="center"/>
        <w:rPr>
          <w:rFonts w:hint="eastAsia" w:ascii="微软雅黑" w:hAnsi="微软雅黑" w:eastAsia="微软雅黑" w:cs="微软雅黑"/>
          <w:i w:val="0"/>
          <w:caps w:val="0"/>
          <w:color w:val="000000"/>
          <w:spacing w:val="0"/>
          <w:sz w:val="28"/>
          <w:szCs w:val="28"/>
          <w:bdr w:val="none" w:color="auto" w:sz="0" w:space="0"/>
        </w:rPr>
      </w:pPr>
      <w:r>
        <w:rPr>
          <w:rFonts w:hint="eastAsia" w:ascii="微软雅黑" w:hAnsi="微软雅黑" w:eastAsia="微软雅黑" w:cs="微软雅黑"/>
          <w:i w:val="0"/>
          <w:caps w:val="0"/>
          <w:color w:val="000000"/>
          <w:spacing w:val="0"/>
          <w:sz w:val="28"/>
          <w:szCs w:val="28"/>
          <w:bdr w:val="none" w:color="auto" w:sz="0" w:space="0"/>
        </w:rPr>
        <w:t>浦发银行天津分行以突破创新解决民营科技企业融资需求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40" w:lineRule="atLeast"/>
        <w:ind w:left="0" w:right="0" w:firstLine="420" w:firstLineChars="200"/>
        <w:jc w:val="left"/>
        <w:textAlignment w:val="auto"/>
        <w:rPr>
          <w:rFonts w:hint="eastAsia" w:ascii="微软雅黑" w:hAnsi="微软雅黑" w:eastAsia="微软雅黑" w:cs="微软雅黑"/>
          <w:i w:val="0"/>
          <w:caps w:val="0"/>
          <w:color w:val="000000"/>
          <w:spacing w:val="0"/>
          <w:sz w:val="21"/>
          <w:szCs w:val="21"/>
          <w:bdr w:val="none" w:color="auto" w:sz="0" w:space="0"/>
        </w:rPr>
      </w:pPr>
      <w:r>
        <w:rPr>
          <w:rFonts w:ascii="微软雅黑" w:hAnsi="微软雅黑" w:eastAsia="微软雅黑" w:cs="微软雅黑"/>
          <w:i w:val="0"/>
          <w:caps w:val="0"/>
          <w:color w:val="000000"/>
          <w:spacing w:val="0"/>
          <w:sz w:val="21"/>
          <w:szCs w:val="21"/>
          <w:bdr w:val="none" w:color="auto" w:sz="0" w:space="0"/>
        </w:rPr>
        <w:t>民营企业特别是技术含量较高的科技型企业在快速发展过程中，对股权融资和债权融资都是有需求的。浦发银行</w:t>
      </w:r>
      <w:r>
        <w:rPr>
          <w:rFonts w:hint="eastAsia" w:ascii="微软雅黑" w:hAnsi="微软雅黑" w:eastAsia="微软雅黑" w:cs="微软雅黑"/>
          <w:i w:val="0"/>
          <w:caps w:val="0"/>
          <w:color w:val="000000"/>
          <w:spacing w:val="0"/>
          <w:sz w:val="21"/>
          <w:szCs w:val="21"/>
          <w:bdr w:val="none" w:color="auto" w:sz="0" w:space="0"/>
        </w:rPr>
        <w:t>天津分行围绕天津市大力发展民营小微企业的</w:t>
      </w:r>
      <w:bookmarkStart w:id="0" w:name="_GoBack"/>
      <w:bookmarkEnd w:id="0"/>
      <w:r>
        <w:rPr>
          <w:rFonts w:hint="eastAsia" w:ascii="微软雅黑" w:hAnsi="微软雅黑" w:eastAsia="微软雅黑" w:cs="微软雅黑"/>
          <w:i w:val="0"/>
          <w:caps w:val="0"/>
          <w:color w:val="000000"/>
          <w:spacing w:val="0"/>
          <w:sz w:val="21"/>
          <w:szCs w:val="21"/>
          <w:bdr w:val="none" w:color="auto" w:sz="0" w:space="0"/>
        </w:rPr>
        <w:t>战略部署，重点支持高科技企业、智能企业发展，在做好债权服务的同时，搭建线上股权融资对接服务平台，为科技企业和投资机构之间搭建了快速对接的桥梁。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40" w:lineRule="atLeast"/>
        <w:ind w:left="0" w:right="0" w:firstLine="420" w:firstLineChars="200"/>
        <w:jc w:val="left"/>
        <w:textAlignment w:val="auto"/>
        <w:rPr>
          <w:sz w:val="21"/>
          <w:szCs w:val="21"/>
        </w:rPr>
      </w:pPr>
      <w:r>
        <w:rPr>
          <w:rFonts w:hint="eastAsia" w:ascii="微软雅黑" w:hAnsi="微软雅黑" w:eastAsia="微软雅黑" w:cs="微软雅黑"/>
          <w:i w:val="0"/>
          <w:caps w:val="0"/>
          <w:color w:val="000000"/>
          <w:spacing w:val="0"/>
          <w:sz w:val="21"/>
          <w:szCs w:val="21"/>
          <w:bdr w:val="none" w:color="auto" w:sz="0" w:space="0"/>
        </w:rPr>
        <w:t>浦发银行天津分行通过产品创设，对获得合作投资机构投资的科技企业专门开辟了投资天使贷产品，用投贷联动解决了企业的增量融资需求。浦发银行天津分行主动寻求突破创新，借助总行系统内资源，逐步开始直接参与对科技企业和创业投资基金的股权投资。比如浦发银行天津分行同股同权投资天津康希诺生物成为了全国首笔银行资金直接投资非上市科技企业的典型案例，取得了良好的经济效益与社会效益。某生物医药基金以及某并购基金累计17.5亿元投资额度的顺利批复，也标志着浦发银行天津分行对科技企业的投贷联动金融服务已经进入到“主动发起，深度合作”的新阶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40" w:lineRule="atLeast"/>
        <w:ind w:left="0" w:right="0" w:firstLine="420" w:firstLineChars="200"/>
        <w:jc w:val="left"/>
        <w:textAlignment w:val="auto"/>
        <w:rPr>
          <w:sz w:val="21"/>
          <w:szCs w:val="21"/>
        </w:rPr>
      </w:pPr>
      <w:r>
        <w:rPr>
          <w:rFonts w:hint="eastAsia" w:ascii="微软雅黑" w:hAnsi="微软雅黑" w:eastAsia="微软雅黑" w:cs="微软雅黑"/>
          <w:i w:val="0"/>
          <w:caps w:val="0"/>
          <w:color w:val="000000"/>
          <w:spacing w:val="0"/>
          <w:sz w:val="21"/>
          <w:szCs w:val="21"/>
          <w:bdr w:val="none" w:color="auto" w:sz="0" w:space="0"/>
        </w:rPr>
        <w:t>2019年度浦发银行天津分行将持续加大对民营企业的服务支持力度，不断发挥科技金融特色优势，以科技金融创新扶持我市新经济、新动能的发展。</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1F2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瑶大大࿄࿄</cp:lastModifiedBy>
  <dcterms:modified xsi:type="dcterms:W3CDTF">2019-10-12T03:41:47Z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