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b/>
          <w:bCs/>
          <w:i w:val="0"/>
          <w:caps w:val="0"/>
          <w:color w:val="000000"/>
          <w:spacing w:val="0"/>
          <w:sz w:val="28"/>
          <w:szCs w:val="28"/>
        </w:rPr>
      </w:pPr>
      <w:r>
        <w:rPr>
          <w:rFonts w:hint="eastAsia" w:ascii="微软雅黑" w:hAnsi="微软雅黑" w:eastAsia="微软雅黑" w:cs="微软雅黑"/>
          <w:b/>
          <w:bCs/>
          <w:i w:val="0"/>
          <w:caps w:val="0"/>
          <w:color w:val="000000"/>
          <w:spacing w:val="0"/>
          <w:sz w:val="28"/>
          <w:szCs w:val="28"/>
        </w:rPr>
        <w:t>中国工商银行票据营业部以中银协票据专业委员会为平台积极推动票据市场规范</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今年以来，中国工商银行票据营业部积极做好中国银行业协会票据专业委员会各项工作，全力服务票据市场规范化发展，积极助力普惠金</w:t>
      </w:r>
      <w:r>
        <w:rPr>
          <w:rFonts w:hint="eastAsia" w:ascii="微软雅黑" w:hAnsi="微软雅黑" w:eastAsia="微软雅黑" w:cs="微软雅黑"/>
          <w:i w:val="0"/>
          <w:caps w:val="0"/>
          <w:color w:val="000000"/>
          <w:spacing w:val="0"/>
          <w:sz w:val="21"/>
          <w:szCs w:val="21"/>
          <w:lang w:val="en-US" w:eastAsia="zh-CN"/>
        </w:rPr>
        <w:t xml:space="preserve"> </w:t>
      </w:r>
      <w:r>
        <w:rPr>
          <w:rFonts w:hint="eastAsia" w:ascii="微软雅黑" w:hAnsi="微软雅黑" w:eastAsia="微软雅黑" w:cs="微软雅黑"/>
          <w:i w:val="0"/>
          <w:caps w:val="0"/>
          <w:color w:val="000000"/>
          <w:spacing w:val="0"/>
          <w:sz w:val="21"/>
          <w:szCs w:val="21"/>
        </w:rPr>
        <w:t>融战略落地，取得良好成效。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中国银行业协会票据专业委员会是全国票据业务界的社团组织，是推动、引领全国票据市场发展的重要平台。工行票据营业部作为我国第一家票据专营机构，始终致力于推动我国票据市场规范发展，积极宣传、倡导市场识票、用票，为票据市场发展营造良好的生态和氛围。今年初，该部积极参加由中国银行业协会票</w:t>
      </w:r>
      <w:bookmarkStart w:id="0" w:name="_GoBack"/>
      <w:bookmarkEnd w:id="0"/>
      <w:r>
        <w:rPr>
          <w:rFonts w:hint="eastAsia" w:ascii="微软雅黑" w:hAnsi="微软雅黑" w:eastAsia="微软雅黑" w:cs="微软雅黑"/>
          <w:i w:val="0"/>
          <w:caps w:val="0"/>
          <w:color w:val="000000"/>
          <w:spacing w:val="0"/>
          <w:sz w:val="21"/>
          <w:szCs w:val="21"/>
        </w:rPr>
        <w:t>据专业委员会组织召开的推动票据业务服务“一带一路”建设、支持实体经济发展研讨会，就通过票据业务参与“一带一路”建设、助力实体经济发展进行了主题发言和交流以务实举措深入贯彻落实国家“一带一路”倡议，从战略层面引领市场推动发展。</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该部经过近二十年的专业化经营，培养了一批又一批专业化人才，敏锐洞察票据市场发展中存在的问题，并积极通过中国银行业协会票据专业委员会向有关管理部门反映，力求推动问题尽快解决，确保票据行业稳健发展。今年5月，该部积极参加由中国银行业协会组织召开的票据业务座谈会，积极回应市场上反映的热点问题，并提出相关意见和建议，为我国票据市场的健康可持续发展献计献策。</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该部在积极推动本行票据业务条线改革发展的同时，始终坚持加大对市场的专业研究力度，充分发动行内外专业力量，组织开展票据市场研究工作，做好决策支持服务。今年上半年，该部协同有关同业机构，完成了《</w:t>
      </w:r>
      <w:r>
        <w:rPr>
          <w:rFonts w:hint="eastAsia" w:ascii="微软雅黑" w:hAnsi="微软雅黑" w:eastAsia="微软雅黑" w:cs="微软雅黑"/>
          <w:i w:val="0"/>
          <w:caps w:val="0"/>
          <w:color w:val="000000"/>
          <w:spacing w:val="0"/>
          <w:sz w:val="21"/>
          <w:szCs w:val="21"/>
        </w:rPr>
        <w:t>中国票据市场发展报告（2018）》（蓝皮书）修订工作，为我国票据市场建设作出了积极贡献。同时，该部继续做好《票据研究》组稿和刊发工作，通过政策传导、业务宣传、经验交流等，积极传播票据业务知识和文化。该专刊自2002年创刊以来，是业界唯一一份专业期刊，对推进票据市场创新发展发挥了积极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437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瑶大大࿄࿄</cp:lastModifiedBy>
  <dcterms:modified xsi:type="dcterms:W3CDTF">2019-09-06T05:55:49Z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