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b/>
          <w:color w:val="191919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</w:rPr>
        <w:t>工行滕州支行票据贴现业务指标创历史新高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今年以来，山东省滕州支行积极利用票据业务风险小、流动性好、资金配置价格低等优势，创新营销手段，加大票据贴现营销力度，取得了良好业绩。据悉，该行今年前6个月，累计办理18.22亿元贴现，实现票据业务贴息额2399万元，票据贴现业务指标创历史新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据了解，该行以奋发有为的精神状态和“奋斗+落实”的工作作风，坚定信心，久久为功，发挥团队在市场竞争中的攻城拔寨作用,不断完善服务手段，细分市场和客户，加大营销推动力度。同时，将票据业务纳入存款、贷款、拓户的营销当中，实现跨专业跨市场的全产品营销，增强客户粘性，提高贴现比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该行面对重点客户采取针对性营销策略，全力做大票据业务量。以大型企业、小微优质企业贴现业务为抓手，加强对其上下游供应链企业的营销，提升了企业客户综合贡献。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在此基础上，该行切实严把操作风险管理关口，健全机构准入制度，坚持对所有申请贴现的企业及票据进行认真核查，确保贸易背景真实，资料完整可靠，严把买入、保管、卖出关;按程序、按权限、按制度办理每一笔票据贴现业务，确保了票据业务零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瑶大大࿄࿄</cp:lastModifiedBy>
  <dcterms:modified xsi:type="dcterms:W3CDTF">2019-07-30T07:05:08Z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