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caps w:val="0"/>
          <w:color w:val="333333"/>
          <w:spacing w:val="8"/>
          <w:sz w:val="28"/>
          <w:szCs w:val="28"/>
        </w:rPr>
      </w:pPr>
      <w:r>
        <w:rPr>
          <w:rFonts w:hint="eastAsia" w:ascii="微软雅黑" w:hAnsi="微软雅黑" w:eastAsia="微软雅黑" w:cs="微软雅黑"/>
          <w:i w:val="0"/>
          <w:caps w:val="0"/>
          <w:color w:val="333333"/>
          <w:spacing w:val="8"/>
          <w:sz w:val="28"/>
          <w:szCs w:val="28"/>
          <w:shd w:val="clear" w:fill="FFFFFF"/>
        </w:rPr>
        <w:t>招行发力票据业务 打造缓解“融资难、融资贵”利器</w:t>
      </w:r>
    </w:p>
    <w:p>
      <w:pPr>
        <w:ind w:firstLine="452" w:firstLineChars="20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8"/>
          <w:sz w:val="21"/>
          <w:szCs w:val="21"/>
          <w:shd w:val="clear" w:fill="FFFFFF"/>
        </w:rPr>
        <w:t>票据作为将核心企业信用迁徙至民营、小微企业的金融工具，被业内视为解决中小企业融资难、融资贵的“金钥匙”。数据显示，2018年招商银行贴现量10255亿元中，民营企业贴现客户数占比86%、贴现量占比75%，中小微企业贴现客户数占比91%、贴现量占比76%。</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招商银行表示，将持续发挥现有票据业务优势，围绕客户票据业务需求，牢牢防控风险，充分利用金融科技进行产品创新，不断提升招行票据业务服务实体经济的能力。</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w:t>
      </w:r>
      <w:r>
        <w:rPr>
          <w:rFonts w:hint="eastAsia" w:ascii="微软雅黑" w:hAnsi="微软雅黑" w:eastAsia="微软雅黑" w:cs="微软雅黑"/>
          <w:b/>
          <w:i w:val="0"/>
          <w:caps w:val="0"/>
          <w:color w:val="333333"/>
          <w:spacing w:val="8"/>
          <w:sz w:val="21"/>
          <w:szCs w:val="21"/>
          <w:shd w:val="clear" w:fill="FFFFFF"/>
        </w:rPr>
        <w:t>中小微贴现客户超九成</w:t>
      </w:r>
      <w:r>
        <w:rPr>
          <w:rFonts w:hint="eastAsia" w:ascii="微软雅黑" w:hAnsi="微软雅黑" w:eastAsia="微软雅黑" w:cs="微软雅黑"/>
          <w:b/>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业内人士表示，相比其他供应链融资工具，票据是以结算带动融资，具有权责关系清晰、融资效率高、门槛低等突出优势。大型企业通过签发商票来置换大量存在的刚性应付账款，持票中小企业就可以借助大型企业信用通过商票保贴方式低门槛、低利率获得银行贴现资金，可有效缓解大型企业信用富裕和中小微企业“融资难、融资贵”之间的矛盾。</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据统计，2018年全市场票据签发量18.27万亿元、结算量56.56万亿元、贴现量9.94万亿元，分别同比增长24.84%、62.59%、38.83%，单张票面金额下降至87.96万元，较前年下降21.93%，贴现利率低于同期贷款水平，其中，中小企业签发票据量占比超过三分之二。对这些数据，招商银行行长助理刘辉认为，票据结算功能提升带动签发量、结算量和贴现量增加，票据作为一种远期结算工具，正在被越来越多的企业使用。</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票据的背书流转增加，给需要资金的中小微企业和民营企业获得了低门槛、高效率的融资机会。作为2016年至今累计直贴量市场排名第一的商业银行，数据显示，招行2018年贴现量10255亿元中，民营企业贴现客户数占比86%、贴现量占比75%，中小微企业贴现客户数占比91%、贴现量占比76%。大型企业对票据市场的参与度相对较低，不到签发量的三分之一。招商银行认为，这恰恰说明票据市场在缓解中小微企业和民营企业“融资难、融资贵”问题上潜力巨大。</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w:t>
      </w:r>
      <w:bookmarkStart w:id="0" w:name="_GoBack"/>
      <w:r>
        <w:rPr>
          <w:rFonts w:hint="eastAsia" w:ascii="微软雅黑" w:hAnsi="微软雅黑" w:eastAsia="微软雅黑" w:cs="微软雅黑"/>
          <w:b/>
          <w:i w:val="0"/>
          <w:caps w:val="0"/>
          <w:color w:val="333333"/>
          <w:spacing w:val="8"/>
          <w:sz w:val="21"/>
          <w:szCs w:val="21"/>
          <w:shd w:val="clear" w:fill="FFFFFF"/>
        </w:rPr>
        <w:t>多措并举引导大型企业</w:t>
      </w:r>
      <w:r>
        <w:rPr>
          <w:rFonts w:hint="eastAsia" w:ascii="微软雅黑" w:hAnsi="微软雅黑" w:eastAsia="微软雅黑" w:cs="微软雅黑"/>
          <w:b/>
          <w:i w:val="0"/>
          <w:caps w:val="0"/>
          <w:color w:val="333333"/>
          <w:spacing w:val="8"/>
          <w:sz w:val="21"/>
          <w:szCs w:val="21"/>
          <w:shd w:val="clear" w:fill="FFFFFF"/>
        </w:rPr>
        <w:br w:type="textWrapping"/>
      </w:r>
      <w:bookmarkEnd w:id="0"/>
      <w:r>
        <w:rPr>
          <w:rFonts w:hint="eastAsia" w:ascii="微软雅黑" w:hAnsi="微软雅黑" w:eastAsia="微软雅黑" w:cs="微软雅黑"/>
          <w:b w:val="0"/>
          <w:i w:val="0"/>
          <w:caps w:val="0"/>
          <w:color w:val="333333"/>
          <w:spacing w:val="8"/>
          <w:sz w:val="21"/>
          <w:szCs w:val="21"/>
          <w:shd w:val="clear" w:fill="FFFFFF"/>
        </w:rPr>
        <w:t>　　据了解，为更好激发票据高效的“信用迁徙”功能，实现金融资源的二次分配，需要进一步完善票据市场基础设施、创新产品、改变对纸票时代低效率高风险的惯有认识，让大型企业有愿意用票据。</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对此，招行一直积极主动作为。招行是上海票据交易所的发起股东、中国票据研究中心6家银行类理事单位之一、上海票据交易所创新产品“票付通”3家试点银行之一、“贴现通”产品5家试点银行之一。招行一直积极宣传、推广票据产品，2018年在全国召开40场产品推介会，2019年计划召开70场票据产品推介会，累计参会企业超过9000家，通过这种方式提升大型企业对票据的认识，引导大型企业使用票据。</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除了积极参与并推动票据市场发展以外，招行内部也更加重视票据业务。招行从战略、体制、产品、服务几个方面入手，充分利用金融科技，打造“票据大管家”平台。服务票据全链条企业，提升票据业务服务实体经济能力。</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此外，招商银行还积极作为：一是降低再贴现票据的贴现利率，再贴现票据贴现利率平均下降35BP；二是借助金融科技开发微票通产品，让再贴现更加高效和精准，该产品也获得了2018年深圳市金融创新一等奖；三是在资源配置上进行倾斜，票据融资规模的配置位居同业前列。</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w:t>
      </w:r>
      <w:r>
        <w:rPr>
          <w:rFonts w:hint="eastAsia" w:ascii="微软雅黑" w:hAnsi="微软雅黑" w:eastAsia="微软雅黑" w:cs="微软雅黑"/>
          <w:b/>
          <w:i w:val="0"/>
          <w:caps w:val="0"/>
          <w:color w:val="333333"/>
          <w:spacing w:val="8"/>
          <w:sz w:val="21"/>
          <w:szCs w:val="21"/>
          <w:shd w:val="clear" w:fill="FFFFFF"/>
        </w:rPr>
        <w:t>风控体系覆盖全生命周期</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虽然票据市场整体风险已经大幅下降，但招行依旧非常重视票据业务风险防范。</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票据产品的一体化，让招行更加全面系统的管控票据业务各类风险，在成立专门风险管理团队的基础上，建立覆盖票据全生命周期的全面风险管理体系，有效防范了各类风险案件发生。招行通过票据大管家智能风控功能，让企业共享招行风险管理能力，提升票据市场风险管理水平。</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依托这种全流程的风险管理视角和能力，对于今年一季度市场关注的票据业务空转和套利情况，招商银行行长田惠宇此前表示，招商银行较早发现这一问题并采取相应措施加以遏制，保证票据融资切实用于支持实体经济。招行通过严格审核承兑业务贸易背景和严控高定价结构性存款作为承兑保证金两种方式，有效控制了个别企业的套利行为。</w:t>
      </w:r>
      <w:r>
        <w:rPr>
          <w:rFonts w:hint="eastAsia" w:ascii="微软雅黑" w:hAnsi="微软雅黑" w:eastAsia="微软雅黑" w:cs="微软雅黑"/>
          <w:b w:val="0"/>
          <w:i w:val="0"/>
          <w:caps w:val="0"/>
          <w:color w:val="333333"/>
          <w:spacing w:val="8"/>
          <w:sz w:val="21"/>
          <w:szCs w:val="21"/>
          <w:shd w:val="clear" w:fill="FFFFFF"/>
        </w:rPr>
        <w:br w:type="textWrapping"/>
      </w:r>
      <w:r>
        <w:rPr>
          <w:rFonts w:hint="eastAsia" w:ascii="微软雅黑" w:hAnsi="微软雅黑" w:eastAsia="微软雅黑" w:cs="微软雅黑"/>
          <w:b w:val="0"/>
          <w:i w:val="0"/>
          <w:caps w:val="0"/>
          <w:color w:val="333333"/>
          <w:spacing w:val="8"/>
          <w:sz w:val="21"/>
          <w:szCs w:val="21"/>
          <w:shd w:val="clear" w:fill="FFFFFF"/>
        </w:rPr>
        <w:t>　　刘辉指出，在一季度央行降低实体企业融资成本、引导利率走廊下行的过程中，票据也成为中小微企业和民营企业最快享受到的低利率融资产品，贴现利率最低到3.2%，让大量中小微企业受益。他表示，不能因为个别企业的套利行为否定票据业务实实在在降低企业融资成本的事实和作用，从数据来看，票据贴现利率长期低于同期贷款利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14C23"/>
    <w:rsid w:val="105966D5"/>
    <w:rsid w:val="4231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2019-06-28T07:51:00Z</dcterms:created>
  <dc:creator>瑶大大࿄࿄</dc:creator>
  <cp:lastModifiedBy>瑶大大࿄࿄</cp:lastModifiedBy>
  <dcterms:modified xsi:type="dcterms:W3CDTF">2019-07-02T01:18:26Z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