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b/>
          <w:bCs/>
          <w:i w:val="0"/>
          <w:caps w:val="0"/>
          <w:color w:val="000000"/>
          <w:spacing w:val="0"/>
          <w:kern w:val="0"/>
          <w:sz w:val="28"/>
          <w:szCs w:val="28"/>
          <w:shd w:val="clear" w:fill="FFFFFF"/>
          <w:lang w:val="en-US" w:eastAsia="zh-CN" w:bidi="ar"/>
        </w:rPr>
      </w:pPr>
      <w:r>
        <w:rPr>
          <w:rFonts w:hint="eastAsia" w:ascii="微软雅黑" w:hAnsi="微软雅黑" w:eastAsia="微软雅黑" w:cs="微软雅黑"/>
          <w:b/>
          <w:bCs/>
          <w:i w:val="0"/>
          <w:caps w:val="0"/>
          <w:color w:val="000000"/>
          <w:spacing w:val="0"/>
          <w:kern w:val="0"/>
          <w:sz w:val="28"/>
          <w:szCs w:val="28"/>
          <w:shd w:val="clear" w:fill="FFFFFF"/>
          <w:lang w:val="en-US" w:eastAsia="zh-CN" w:bidi="ar"/>
        </w:rPr>
        <w:t>人行济南分行推进票据市场发展助民营小微企业融资侧记</w:t>
      </w:r>
    </w:p>
    <w:p>
      <w:pPr>
        <w:pStyle w:val="2"/>
        <w:keepNext w:val="0"/>
        <w:keepLines w:val="0"/>
        <w:widowControl/>
        <w:suppressLineNumbers w:val="0"/>
        <w:shd w:val="clear" w:fill="FFFFFF"/>
        <w:spacing w:before="75" w:beforeAutospacing="0" w:after="75" w:afterAutospacing="0"/>
        <w:ind w:left="0" w:right="0" w:firstLine="420" w:firstLineChars="20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5月，人民银行济南分行与上海票据交易所共同举办“山东省票据业务宣讲活动”，为全省各级政府部门、金融机构、民营和小微企业带来了一场票据知识盛宴。</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用好票据市场新模式、新政策、新技术，将商业承兑汇票与供应链融资深度结合，增强票据融资功能，对改进民营和小微企业金融服务具有重要现实意义。”人行济南分行党委委员、副行长刘健向记者介绍。“特别是随着山东省新旧动能转换重大战略的深入推进实施，实体经济高质量发展需要多元化的融资服务机制，票据融资将发挥更重要的作用。”</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1"/>
          <w:szCs w:val="21"/>
          <w:shd w:val="clear" w:fill="FFFFFF"/>
          <w:lang w:val="en-US" w:eastAsia="zh-CN" w:bidi="ar"/>
        </w:rPr>
        <w:t>  加强票据市场培育</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票据市场建设和市场培育是推动票据业务发展的基础。记者了解到，近年来，人行济南分行大力推进票据市场建设，指导省内开办票据业务的160余家法人金融机构、6000余家市场参与者接入上海票交所票据交易平台，推动电子商业承兑汇票应用范围不断扩大，为降低票据业务风险，提升票据交易的安全性和流转效率奠定了基础。</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据介绍，该行积极推进商业承兑汇票发展，组织金融机构与企业建立商票服务关系，加大再贴现政策激励，为全省商业承兑汇票发展营造良好的环境。该行建立了规范化、透明化再贴现综合量化评估制度，将金融机构申请办理再贴现票据的资金投向、贴现利率、票据结构、贸易背景等各项指标进行量化打分，突出支持民营、小微票据，对重点支持票据优先给予再贴现支持，截至2019年3月末，该行对商业承兑汇票再贴现余额41.46亿元，占全部再贴现余额比重达到20%，对于引导金融机构加大商业承兑汇票贴现力度、降低贴现利率水平发挥了积极作用。以山东南山铝业股份有限公司为例，该企业“铝合金变形材智能制造项目”属于烟台市新旧动能转换重点投资项目，2018年以来，人民银行累计为该企业签发和持有的商业承兑汇票办理再贴现6亿元，平均贴现利率仅为4.3%左右，极大地节约了民营企业及其上下游小微企业的融资成本。</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在宣传培训方面，该行连续3年通过票据业务培训班、专题宣讲活动、研讨会等多种形式，向金融机构和企业大力宣传票据在融资方面的作用和功能，促进金融机构创新票据服务模式和机构间业务交流，提升企业运用票据工具的能力。此外，该行积极引导商业银行加强产品创新，推出针对小微企业票据贴现的专项产品和优惠措施，如在线贴现、票据池等业务，提升票据贴现的可得性和便利性，为小微企业票据融资提供便捷高效的服务和低成本融资。</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  统计显示，2018年，山东省商业汇票发生额1.75万亿元，同比增长近10%，占全国比重9.6%；票据贴现发生额0.8万亿元，同比增长50%多，占全国比重8%，均居全国前列。</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kern w:val="0"/>
          <w:sz w:val="21"/>
          <w:szCs w:val="21"/>
          <w:shd w:val="clear" w:fill="FFFFFF"/>
          <w:lang w:val="en-US" w:eastAsia="zh-CN" w:bidi="ar"/>
        </w:rPr>
        <w:t>  让供应链与商票深度结合</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山东临沂金锣集团的商票被越来越多的供应商接受，2018年商票签发量已近7000张、总额7.2亿元，年末余额3.2亿元。“集团优化了财务报表，供货商拿商票支付给其他企业或者到对应的开户银行贴现，也非常方便。”金锣集团财务经理梁培波说。</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这是人行济南分行推动商业承兑汇票发展帮助企业受益的一个缩影。近两年，国家高度重视商业承兑汇票在解决小微企业融资难方面发挥的作用，出台了推进供应链创新与应用等方面的系列制度文件，力图拓宽供应链上下游中小微企业融资渠道。记者了解到，在人行济南分行指导下，山东各地人行分支机构、金融机构积极开展票据融资服务模式创新。</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如2018年以来，人行临沂市中支结合江北最大商贸城、首批55座国家级供应链创新与应用试点城市的区域实际，联合银保监等部门制定出台推动商业承兑汇票发展的意见，创造性拓展电子商业承兑汇票业务，筛选确定首批15家商票重点推广企业名单，组织金融机构与企业建立商票服务关系，采取政策引导、畅通流转变现能力、强化风险防控等措施，有效激活商票作为供应链上下游之间的支付和融资工具功能，为上下游2000余家民营和小微企业提供融资206.5亿元，节约融资成本3.2亿元。2019年年初，全国首家地级市商票自律组织——临沂市供应链金融协会成立，定期组织开展商票宣传推广和业务指导，对相关企业逐户开展“进走访”活动。人行济宁市中支联合相关部门推行商票推广服务主办银行制度，组织金融机构对企业优先提供商票保贴、保兑等产品。人行日照市中支指导日照银行创新推出“商票保贴”业务，为当地6家国有企业新增授信10亿元，专项用于向民营和小微企业开具商业承兑汇票，并为收票企业提供一站式贴现服务，有效提升贴现效率，降低持票企业融资成本。</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w:t>
      </w:r>
      <w:r>
        <w:rPr>
          <w:rFonts w:hint="eastAsia" w:ascii="微软雅黑" w:hAnsi="微软雅黑" w:eastAsia="微软雅黑" w:cs="微软雅黑"/>
          <w:b/>
          <w:i w:val="0"/>
          <w:caps w:val="0"/>
          <w:color w:val="000000"/>
          <w:spacing w:val="0"/>
          <w:kern w:val="0"/>
          <w:sz w:val="21"/>
          <w:szCs w:val="21"/>
          <w:shd w:val="clear" w:fill="FFFFFF"/>
          <w:lang w:val="en-US" w:eastAsia="zh-CN" w:bidi="ar"/>
        </w:rPr>
        <w:t> 开辟绿色通道</w:t>
      </w:r>
      <w:r>
        <w:rPr>
          <w:rFonts w:hint="eastAsia" w:ascii="微软雅黑" w:hAnsi="微软雅黑" w:eastAsia="微软雅黑" w:cs="微软雅黑"/>
          <w:b/>
          <w:i w:val="0"/>
          <w:caps w:val="0"/>
          <w:color w:val="000000"/>
          <w:spacing w:val="0"/>
          <w:kern w:val="0"/>
          <w:sz w:val="21"/>
          <w:szCs w:val="21"/>
          <w:shd w:val="clear" w:fill="FFFFFF"/>
          <w:lang w:val="en-US" w:eastAsia="zh-CN" w:bidi="ar"/>
        </w:rPr>
        <w:t> </w:t>
      </w:r>
      <w:r>
        <w:rPr>
          <w:rFonts w:hint="eastAsia" w:ascii="微软雅黑" w:hAnsi="微软雅黑" w:eastAsia="微软雅黑" w:cs="微软雅黑"/>
          <w:b/>
          <w:i w:val="0"/>
          <w:caps w:val="0"/>
          <w:color w:val="000000"/>
          <w:spacing w:val="0"/>
          <w:kern w:val="0"/>
          <w:sz w:val="21"/>
          <w:szCs w:val="21"/>
          <w:shd w:val="clear" w:fill="FFFFFF"/>
          <w:lang w:val="en-US" w:eastAsia="zh-CN" w:bidi="ar"/>
        </w:rPr>
        <w:t>实现“精准滴灌”</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记者了解到，人行济南分行充分发挥再贴现货币政策工具引导撬动作用，优化再贴现业务流程，创建再贴现“重点支持票据直通车”、“绿色票据直通车”操作模式，将单户单次签票金额500万元及以下的小微企业票据、单户单次签票金额3000万元及以下的民营企业票据和绿色票据作为重点支持票据，明确绿色票据筛选标准，对以重点支持票据提出的再贴现申请，优先给予再贴现支持，引流“金融活水”注入小微、绿色发展领域。</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与此同时，该行注重政策宣传、协力推广，推动业务点破面进。一方面，加强与政府部门协同推进，将再贴现票据直通车业务列入支持民企政策措施，并利用媒体宣传、送政策上门等形式，提高金融机构对重点支持票据直通车、绿色票据直通车业务的政策把握，进一步调动金融机构参与积极性；另一方面，引导金融机构为符合再贴现准入标准的小微、民营、绿色企业降低贴现利率，切实降低企业融资成本，如兴业银行济南分行对再贴现支持的小微企业银票贴现利率比市场价格低20-30BP，商业承兑汇票比市场价格低约300个BP，显著降低小微企业融资成本。</w:t>
      </w:r>
    </w:p>
    <w:p>
      <w:pPr>
        <w:pStyle w:val="2"/>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  截至2019年3月末，山东省再贴现余额204亿元，同比增长97%。其中，500万及</w:t>
      </w:r>
      <w:r>
        <w:rPr>
          <w:rFonts w:hint="eastAsia" w:ascii="微软雅黑" w:hAnsi="微软雅黑" w:eastAsia="微软雅黑" w:cs="微软雅黑"/>
          <w:i w:val="0"/>
          <w:caps w:val="0"/>
          <w:color w:val="000000"/>
          <w:spacing w:val="0"/>
          <w:kern w:val="0"/>
          <w:sz w:val="21"/>
          <w:szCs w:val="21"/>
          <w:shd w:val="clear" w:fill="FFFFFF"/>
          <w:lang w:val="en-US" w:eastAsia="zh-CN" w:bidi="ar"/>
        </w:rPr>
        <w:t>以下小微企业票据84亿元，占比41%，民营企业票据146.4亿元，占比71.7%，绿色票据再贴现15.26亿元，支持绿色企业29家、绿色项目10个。如在绿色票据再贴现引导下，山东美晨生态环境股份有限公司在3家银行办理绿色票据贴现2.6亿元，单张票据仅180万元，贴现利率较贷款基准利率低80-90个BP，为企业节约融资成本100余万元。</w:t>
      </w:r>
    </w:p>
    <w:p>
      <w:pPr>
        <w:rPr>
          <w:rFonts w:hint="eastAsia" w:ascii="微软雅黑" w:hAnsi="微软雅黑" w:eastAsia="微软雅黑" w:cs="微软雅黑"/>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C4148"/>
    <w:rsid w:val="64F6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瑶大大࿄࿄</cp:lastModifiedBy>
  <dcterms:modified xsi:type="dcterms:W3CDTF">2019-06-25T07:28:11Z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